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215" w:rsidRDefault="007D4215" w:rsidP="007D4215">
      <w:pPr>
        <w:jc w:val="center"/>
        <w:rPr>
          <w:rFonts w:ascii="Times New Roman" w:hAnsi="Times New Roman" w:cs="Times New Roman"/>
          <w:sz w:val="24"/>
          <w:szCs w:val="24"/>
        </w:rPr>
      </w:pPr>
    </w:p>
    <w:p w:rsidR="007D4215" w:rsidRDefault="007D4215" w:rsidP="007D4215">
      <w:pPr>
        <w:jc w:val="center"/>
        <w:rPr>
          <w:rFonts w:ascii="Times New Roman" w:hAnsi="Times New Roman" w:cs="Times New Roman"/>
          <w:sz w:val="24"/>
          <w:szCs w:val="24"/>
        </w:rPr>
      </w:pPr>
    </w:p>
    <w:p w:rsidR="007D4215" w:rsidRDefault="007D4215" w:rsidP="007D4215">
      <w:pPr>
        <w:jc w:val="center"/>
        <w:rPr>
          <w:rFonts w:ascii="Times New Roman" w:hAnsi="Times New Roman" w:cs="Times New Roman"/>
          <w:sz w:val="24"/>
          <w:szCs w:val="24"/>
        </w:rPr>
      </w:pPr>
    </w:p>
    <w:p w:rsidR="007D4215" w:rsidRDefault="007D4215" w:rsidP="007D4215">
      <w:pPr>
        <w:jc w:val="center"/>
        <w:rPr>
          <w:rFonts w:ascii="Times New Roman" w:hAnsi="Times New Roman" w:cs="Times New Roman"/>
          <w:sz w:val="24"/>
          <w:szCs w:val="24"/>
        </w:rPr>
      </w:pPr>
    </w:p>
    <w:p w:rsidR="007D4215" w:rsidRDefault="007D4215" w:rsidP="007D4215">
      <w:pPr>
        <w:jc w:val="center"/>
        <w:rPr>
          <w:rFonts w:ascii="Times New Roman" w:hAnsi="Times New Roman" w:cs="Times New Roman"/>
          <w:sz w:val="24"/>
          <w:szCs w:val="24"/>
        </w:rPr>
      </w:pPr>
    </w:p>
    <w:p w:rsidR="007D4215" w:rsidRDefault="007D4215" w:rsidP="007D4215">
      <w:pPr>
        <w:jc w:val="center"/>
        <w:rPr>
          <w:rFonts w:ascii="Times New Roman" w:hAnsi="Times New Roman" w:cs="Times New Roman"/>
          <w:sz w:val="24"/>
          <w:szCs w:val="24"/>
        </w:rPr>
      </w:pPr>
    </w:p>
    <w:p w:rsidR="00107454" w:rsidRDefault="00107454" w:rsidP="007D4215">
      <w:pPr>
        <w:jc w:val="center"/>
        <w:rPr>
          <w:rFonts w:ascii="Times New Roman" w:hAnsi="Times New Roman" w:cs="Times New Roman"/>
          <w:sz w:val="24"/>
          <w:szCs w:val="24"/>
        </w:rPr>
      </w:pPr>
    </w:p>
    <w:p w:rsidR="00107454" w:rsidRDefault="00107454" w:rsidP="007D4215">
      <w:pPr>
        <w:jc w:val="center"/>
        <w:rPr>
          <w:rFonts w:ascii="Times New Roman" w:hAnsi="Times New Roman" w:cs="Times New Roman"/>
          <w:sz w:val="24"/>
          <w:szCs w:val="24"/>
        </w:rPr>
      </w:pPr>
    </w:p>
    <w:p w:rsidR="00107454" w:rsidRDefault="00107454" w:rsidP="007D4215">
      <w:pPr>
        <w:jc w:val="center"/>
        <w:rPr>
          <w:rFonts w:ascii="Times New Roman" w:hAnsi="Times New Roman" w:cs="Times New Roman"/>
          <w:sz w:val="24"/>
          <w:szCs w:val="24"/>
        </w:rPr>
      </w:pPr>
    </w:p>
    <w:p w:rsidR="00107454" w:rsidRDefault="00107454" w:rsidP="007D4215">
      <w:pPr>
        <w:jc w:val="center"/>
        <w:rPr>
          <w:rFonts w:ascii="Times New Roman" w:hAnsi="Times New Roman" w:cs="Times New Roman"/>
          <w:sz w:val="24"/>
          <w:szCs w:val="24"/>
        </w:rPr>
      </w:pPr>
    </w:p>
    <w:p w:rsidR="007D4215" w:rsidRDefault="007D4215" w:rsidP="007D4215">
      <w:pPr>
        <w:jc w:val="center"/>
        <w:rPr>
          <w:rFonts w:ascii="Times New Roman" w:hAnsi="Times New Roman" w:cs="Times New Roman"/>
          <w:sz w:val="24"/>
          <w:szCs w:val="24"/>
        </w:rPr>
      </w:pPr>
      <w:r>
        <w:rPr>
          <w:rFonts w:ascii="Times New Roman" w:hAnsi="Times New Roman" w:cs="Times New Roman"/>
          <w:sz w:val="24"/>
          <w:szCs w:val="24"/>
        </w:rPr>
        <w:t>Marbury v. Madison</w:t>
      </w:r>
      <w:r w:rsidR="00652F7A">
        <w:rPr>
          <w:rFonts w:ascii="Times New Roman" w:hAnsi="Times New Roman" w:cs="Times New Roman"/>
          <w:sz w:val="24"/>
          <w:szCs w:val="24"/>
        </w:rPr>
        <w:t xml:space="preserve"> – Case Brief Summary</w:t>
      </w:r>
    </w:p>
    <w:p w:rsidR="007D4215" w:rsidRDefault="007D4215" w:rsidP="007D4215">
      <w:pPr>
        <w:jc w:val="center"/>
        <w:rPr>
          <w:rFonts w:ascii="Times New Roman" w:hAnsi="Times New Roman" w:cs="Times New Roman"/>
          <w:sz w:val="24"/>
          <w:szCs w:val="24"/>
        </w:rPr>
      </w:pPr>
      <w:r>
        <w:rPr>
          <w:rFonts w:ascii="Times New Roman" w:hAnsi="Times New Roman" w:cs="Times New Roman"/>
          <w:sz w:val="24"/>
          <w:szCs w:val="24"/>
        </w:rPr>
        <w:t>Shawn J. Arledge</w:t>
      </w:r>
    </w:p>
    <w:p w:rsidR="007D4215" w:rsidRDefault="007D4215" w:rsidP="007D4215">
      <w:pPr>
        <w:jc w:val="center"/>
        <w:rPr>
          <w:rFonts w:ascii="Times New Roman" w:hAnsi="Times New Roman" w:cs="Times New Roman"/>
          <w:sz w:val="24"/>
          <w:szCs w:val="24"/>
        </w:rPr>
      </w:pPr>
      <w:r>
        <w:rPr>
          <w:rFonts w:ascii="Times New Roman" w:hAnsi="Times New Roman" w:cs="Times New Roman"/>
          <w:sz w:val="24"/>
          <w:szCs w:val="24"/>
        </w:rPr>
        <w:t>Colorado State University</w:t>
      </w:r>
    </w:p>
    <w:p w:rsidR="007D4215" w:rsidRDefault="007D4215">
      <w:pPr>
        <w:rPr>
          <w:rFonts w:ascii="Times New Roman" w:hAnsi="Times New Roman" w:cs="Times New Roman"/>
          <w:sz w:val="24"/>
          <w:szCs w:val="24"/>
        </w:rPr>
      </w:pPr>
    </w:p>
    <w:p w:rsidR="007D4215" w:rsidRDefault="007D4215">
      <w:pPr>
        <w:rPr>
          <w:rFonts w:ascii="Times New Roman" w:hAnsi="Times New Roman" w:cs="Times New Roman"/>
          <w:sz w:val="24"/>
          <w:szCs w:val="24"/>
        </w:rPr>
      </w:pPr>
    </w:p>
    <w:p w:rsidR="007D4215" w:rsidRDefault="007D4215">
      <w:pPr>
        <w:rPr>
          <w:rFonts w:ascii="Times New Roman" w:hAnsi="Times New Roman" w:cs="Times New Roman"/>
          <w:sz w:val="24"/>
          <w:szCs w:val="24"/>
        </w:rPr>
      </w:pPr>
    </w:p>
    <w:p w:rsidR="007D4215" w:rsidRDefault="007D4215">
      <w:pPr>
        <w:rPr>
          <w:rFonts w:ascii="Times New Roman" w:hAnsi="Times New Roman" w:cs="Times New Roman"/>
          <w:sz w:val="24"/>
          <w:szCs w:val="24"/>
        </w:rPr>
      </w:pPr>
    </w:p>
    <w:p w:rsidR="007D4215" w:rsidRDefault="007D4215">
      <w:pPr>
        <w:rPr>
          <w:rFonts w:ascii="Times New Roman" w:hAnsi="Times New Roman" w:cs="Times New Roman"/>
          <w:sz w:val="24"/>
          <w:szCs w:val="24"/>
        </w:rPr>
      </w:pPr>
    </w:p>
    <w:p w:rsidR="007D4215" w:rsidRDefault="007D4215">
      <w:pPr>
        <w:rPr>
          <w:rFonts w:ascii="Times New Roman" w:hAnsi="Times New Roman" w:cs="Times New Roman"/>
          <w:sz w:val="24"/>
          <w:szCs w:val="24"/>
        </w:rPr>
      </w:pPr>
    </w:p>
    <w:p w:rsidR="007D4215" w:rsidRDefault="007D4215">
      <w:pPr>
        <w:rPr>
          <w:rFonts w:ascii="Times New Roman" w:hAnsi="Times New Roman" w:cs="Times New Roman"/>
          <w:sz w:val="24"/>
          <w:szCs w:val="24"/>
        </w:rPr>
      </w:pPr>
    </w:p>
    <w:p w:rsidR="007D4215" w:rsidRDefault="007D4215">
      <w:pPr>
        <w:rPr>
          <w:rFonts w:ascii="Times New Roman" w:hAnsi="Times New Roman" w:cs="Times New Roman"/>
          <w:sz w:val="24"/>
          <w:szCs w:val="24"/>
        </w:rPr>
      </w:pPr>
    </w:p>
    <w:p w:rsidR="007D4215" w:rsidRDefault="007D4215">
      <w:pPr>
        <w:rPr>
          <w:rFonts w:ascii="Times New Roman" w:hAnsi="Times New Roman" w:cs="Times New Roman"/>
          <w:sz w:val="24"/>
          <w:szCs w:val="24"/>
        </w:rPr>
      </w:pPr>
    </w:p>
    <w:p w:rsidR="007D4215" w:rsidRDefault="007D4215">
      <w:pPr>
        <w:rPr>
          <w:rFonts w:ascii="Times New Roman" w:hAnsi="Times New Roman" w:cs="Times New Roman"/>
          <w:sz w:val="24"/>
          <w:szCs w:val="24"/>
        </w:rPr>
      </w:pPr>
    </w:p>
    <w:p w:rsidR="007D4215" w:rsidRDefault="007D4215">
      <w:pPr>
        <w:rPr>
          <w:rFonts w:ascii="Times New Roman" w:hAnsi="Times New Roman" w:cs="Times New Roman"/>
          <w:sz w:val="24"/>
          <w:szCs w:val="24"/>
        </w:rPr>
      </w:pPr>
    </w:p>
    <w:p w:rsidR="007D4215" w:rsidRDefault="007D4215">
      <w:pPr>
        <w:rPr>
          <w:rFonts w:ascii="Times New Roman" w:hAnsi="Times New Roman" w:cs="Times New Roman"/>
          <w:sz w:val="24"/>
          <w:szCs w:val="24"/>
        </w:rPr>
      </w:pPr>
    </w:p>
    <w:p w:rsidR="00F3591A" w:rsidRDefault="00F3591A" w:rsidP="00041C41">
      <w:pPr>
        <w:jc w:val="center"/>
        <w:rPr>
          <w:rFonts w:ascii="Times New Roman" w:hAnsi="Times New Roman" w:cs="Times New Roman"/>
          <w:sz w:val="24"/>
          <w:szCs w:val="24"/>
        </w:rPr>
      </w:pPr>
    </w:p>
    <w:p w:rsidR="00041C41" w:rsidRDefault="00041C41" w:rsidP="00041C41">
      <w:pPr>
        <w:jc w:val="center"/>
        <w:rPr>
          <w:rFonts w:ascii="Times New Roman" w:hAnsi="Times New Roman" w:cs="Times New Roman"/>
          <w:sz w:val="24"/>
          <w:szCs w:val="24"/>
        </w:rPr>
      </w:pPr>
      <w:r>
        <w:rPr>
          <w:rFonts w:ascii="Times New Roman" w:hAnsi="Times New Roman" w:cs="Times New Roman"/>
          <w:sz w:val="24"/>
          <w:szCs w:val="24"/>
        </w:rPr>
        <w:t>Marbury v Madison – Case Brief Summary</w:t>
      </w:r>
    </w:p>
    <w:p w:rsidR="00457A9E" w:rsidRPr="00C8619E" w:rsidRDefault="00412844" w:rsidP="00F3591A">
      <w:pPr>
        <w:spacing w:line="480" w:lineRule="auto"/>
        <w:ind w:firstLine="720"/>
        <w:rPr>
          <w:rFonts w:ascii="Times New Roman" w:hAnsi="Times New Roman" w:cs="Times New Roman"/>
          <w:sz w:val="24"/>
          <w:szCs w:val="24"/>
        </w:rPr>
      </w:pPr>
      <w:r w:rsidRPr="00C8619E">
        <w:rPr>
          <w:rFonts w:ascii="Times New Roman" w:hAnsi="Times New Roman" w:cs="Times New Roman"/>
          <w:sz w:val="24"/>
          <w:szCs w:val="24"/>
        </w:rPr>
        <w:t>The case of Marbury v</w:t>
      </w:r>
      <w:r w:rsidR="00C8619E" w:rsidRPr="00C8619E">
        <w:rPr>
          <w:rFonts w:ascii="Times New Roman" w:hAnsi="Times New Roman" w:cs="Times New Roman"/>
          <w:sz w:val="24"/>
          <w:szCs w:val="24"/>
        </w:rPr>
        <w:t>.</w:t>
      </w:r>
      <w:r w:rsidRPr="00C8619E">
        <w:rPr>
          <w:rFonts w:ascii="Times New Roman" w:hAnsi="Times New Roman" w:cs="Times New Roman"/>
          <w:sz w:val="24"/>
          <w:szCs w:val="24"/>
        </w:rPr>
        <w:t xml:space="preserve"> Madison centered </w:t>
      </w:r>
      <w:r w:rsidR="0080387D" w:rsidRPr="00C8619E">
        <w:rPr>
          <w:rFonts w:ascii="Times New Roman" w:hAnsi="Times New Roman" w:cs="Times New Roman"/>
          <w:sz w:val="24"/>
          <w:szCs w:val="24"/>
        </w:rPr>
        <w:t>on</w:t>
      </w:r>
      <w:r w:rsidRPr="00C8619E">
        <w:rPr>
          <w:rFonts w:ascii="Times New Roman" w:hAnsi="Times New Roman" w:cs="Times New Roman"/>
          <w:sz w:val="24"/>
          <w:szCs w:val="24"/>
        </w:rPr>
        <w:t xml:space="preserve"> p</w:t>
      </w:r>
      <w:r w:rsidR="00C8619E" w:rsidRPr="00C8619E">
        <w:rPr>
          <w:rFonts w:ascii="Times New Roman" w:hAnsi="Times New Roman" w:cs="Times New Roman"/>
          <w:sz w:val="24"/>
          <w:szCs w:val="24"/>
        </w:rPr>
        <w:t xml:space="preserve">olitical disputes </w:t>
      </w:r>
      <w:r w:rsidRPr="00C8619E">
        <w:rPr>
          <w:rFonts w:ascii="Times New Roman" w:hAnsi="Times New Roman" w:cs="Times New Roman"/>
          <w:sz w:val="24"/>
          <w:szCs w:val="24"/>
        </w:rPr>
        <w:t xml:space="preserve">during the lame duck session of President Adams in 1801. </w:t>
      </w:r>
      <w:r w:rsidR="002139B0" w:rsidRPr="00C8619E">
        <w:rPr>
          <w:rFonts w:ascii="Times New Roman" w:hAnsi="Times New Roman" w:cs="Times New Roman"/>
          <w:sz w:val="24"/>
          <w:szCs w:val="24"/>
        </w:rPr>
        <w:t xml:space="preserve">Prior to Adam’s departure from office, Congress passed the Judiciary Act </w:t>
      </w:r>
      <w:r w:rsidR="00FE6613" w:rsidRPr="00C8619E">
        <w:rPr>
          <w:rFonts w:ascii="Times New Roman" w:hAnsi="Times New Roman" w:cs="Times New Roman"/>
          <w:sz w:val="24"/>
          <w:szCs w:val="24"/>
        </w:rPr>
        <w:t xml:space="preserve">of 1801, modifying </w:t>
      </w:r>
      <w:r w:rsidR="002139B0" w:rsidRPr="00C8619E">
        <w:rPr>
          <w:rFonts w:ascii="Times New Roman" w:hAnsi="Times New Roman" w:cs="Times New Roman"/>
          <w:sz w:val="24"/>
          <w:szCs w:val="24"/>
        </w:rPr>
        <w:t>the original Judiciary Act of 1789. This modification expanded the number of circuit courts, established new district courts, and decreased the number of Supreme Court justices from six to five. It authorized the President to appoint the new federal court judges and justices of the peace (16 judges and 42 justices of the peace). Adams appointed all of the posi</w:t>
      </w:r>
      <w:r w:rsidR="00AC1399">
        <w:rPr>
          <w:rFonts w:ascii="Times New Roman" w:hAnsi="Times New Roman" w:cs="Times New Roman"/>
          <w:sz w:val="24"/>
          <w:szCs w:val="24"/>
        </w:rPr>
        <w:t xml:space="preserve">tions prior to his term ending but </w:t>
      </w:r>
      <w:r w:rsidR="002139B0" w:rsidRPr="00C8619E">
        <w:rPr>
          <w:rFonts w:ascii="Times New Roman" w:hAnsi="Times New Roman" w:cs="Times New Roman"/>
          <w:sz w:val="24"/>
          <w:szCs w:val="24"/>
        </w:rPr>
        <w:t xml:space="preserve">all of the actual written </w:t>
      </w:r>
      <w:r w:rsidR="00C8619E" w:rsidRPr="00C8619E">
        <w:rPr>
          <w:rFonts w:ascii="Times New Roman" w:hAnsi="Times New Roman" w:cs="Times New Roman"/>
          <w:sz w:val="24"/>
          <w:szCs w:val="24"/>
        </w:rPr>
        <w:t>c</w:t>
      </w:r>
      <w:r w:rsidR="002139B0" w:rsidRPr="00C8619E">
        <w:rPr>
          <w:rFonts w:ascii="Times New Roman" w:hAnsi="Times New Roman" w:cs="Times New Roman"/>
          <w:sz w:val="24"/>
          <w:szCs w:val="24"/>
        </w:rPr>
        <w:t xml:space="preserve">ommissions </w:t>
      </w:r>
      <w:r w:rsidR="00AC1399">
        <w:rPr>
          <w:rFonts w:ascii="Times New Roman" w:hAnsi="Times New Roman" w:cs="Times New Roman"/>
          <w:sz w:val="24"/>
          <w:szCs w:val="24"/>
        </w:rPr>
        <w:t>were not</w:t>
      </w:r>
      <w:r w:rsidR="002139B0" w:rsidRPr="00C8619E">
        <w:rPr>
          <w:rFonts w:ascii="Times New Roman" w:hAnsi="Times New Roman" w:cs="Times New Roman"/>
          <w:sz w:val="24"/>
          <w:szCs w:val="24"/>
        </w:rPr>
        <w:t xml:space="preserve"> delivered by the time his successor, Thomas Jefferson, took office. President Jefferson </w:t>
      </w:r>
      <w:r w:rsidR="005E625F" w:rsidRPr="00C8619E">
        <w:rPr>
          <w:rFonts w:ascii="Times New Roman" w:hAnsi="Times New Roman" w:cs="Times New Roman"/>
          <w:sz w:val="24"/>
          <w:szCs w:val="24"/>
        </w:rPr>
        <w:t>immediately</w:t>
      </w:r>
      <w:r w:rsidR="002139B0" w:rsidRPr="00C8619E">
        <w:rPr>
          <w:rFonts w:ascii="Times New Roman" w:hAnsi="Times New Roman" w:cs="Times New Roman"/>
          <w:sz w:val="24"/>
          <w:szCs w:val="24"/>
        </w:rPr>
        <w:t xml:space="preserve"> ordered </w:t>
      </w:r>
      <w:r w:rsidR="005E625F" w:rsidRPr="00C8619E">
        <w:rPr>
          <w:rFonts w:ascii="Times New Roman" w:hAnsi="Times New Roman" w:cs="Times New Roman"/>
          <w:sz w:val="24"/>
          <w:szCs w:val="24"/>
        </w:rPr>
        <w:t>his new Secretary of State, James Madison, to not deliver the</w:t>
      </w:r>
      <w:r w:rsidR="00C8619E" w:rsidRPr="00C8619E">
        <w:rPr>
          <w:rFonts w:ascii="Times New Roman" w:hAnsi="Times New Roman" w:cs="Times New Roman"/>
          <w:sz w:val="24"/>
          <w:szCs w:val="24"/>
        </w:rPr>
        <w:t xml:space="preserve"> remaining c</w:t>
      </w:r>
      <w:r w:rsidR="002139B0" w:rsidRPr="00C8619E">
        <w:rPr>
          <w:rFonts w:ascii="Times New Roman" w:hAnsi="Times New Roman" w:cs="Times New Roman"/>
          <w:sz w:val="24"/>
          <w:szCs w:val="24"/>
        </w:rPr>
        <w:t>ommissions</w:t>
      </w:r>
      <w:r w:rsidR="005E625F" w:rsidRPr="00C8619E">
        <w:rPr>
          <w:rFonts w:ascii="Times New Roman" w:hAnsi="Times New Roman" w:cs="Times New Roman"/>
          <w:sz w:val="24"/>
          <w:szCs w:val="24"/>
        </w:rPr>
        <w:t xml:space="preserve">. </w:t>
      </w:r>
      <w:r w:rsidR="002139B0" w:rsidRPr="00C8619E">
        <w:rPr>
          <w:rFonts w:ascii="Times New Roman" w:hAnsi="Times New Roman" w:cs="Times New Roman"/>
          <w:sz w:val="24"/>
          <w:szCs w:val="24"/>
        </w:rPr>
        <w:t xml:space="preserve"> </w:t>
      </w:r>
      <w:r w:rsidR="005E625F" w:rsidRPr="00C8619E">
        <w:rPr>
          <w:rFonts w:ascii="Times New Roman" w:hAnsi="Times New Roman" w:cs="Times New Roman"/>
          <w:sz w:val="24"/>
          <w:szCs w:val="24"/>
        </w:rPr>
        <w:t>William Marbury,</w:t>
      </w:r>
      <w:r w:rsidR="00FE6613" w:rsidRPr="00C8619E">
        <w:rPr>
          <w:rFonts w:ascii="Times New Roman" w:hAnsi="Times New Roman" w:cs="Times New Roman"/>
          <w:sz w:val="24"/>
          <w:szCs w:val="24"/>
        </w:rPr>
        <w:t xml:space="preserve"> one of the newly appointed justices of the p</w:t>
      </w:r>
      <w:r w:rsidR="005E625F" w:rsidRPr="00C8619E">
        <w:rPr>
          <w:rFonts w:ascii="Times New Roman" w:hAnsi="Times New Roman" w:cs="Times New Roman"/>
          <w:sz w:val="24"/>
          <w:szCs w:val="24"/>
        </w:rPr>
        <w:t xml:space="preserve">eace to not receive his formal commission, sued Madison and filed </w:t>
      </w:r>
      <w:r w:rsidR="005E625F" w:rsidRPr="00C8619E">
        <w:rPr>
          <w:rFonts w:ascii="Times New Roman" w:hAnsi="Times New Roman" w:cs="Times New Roman"/>
          <w:i/>
          <w:sz w:val="24"/>
          <w:szCs w:val="24"/>
        </w:rPr>
        <w:t>directly</w:t>
      </w:r>
      <w:r w:rsidR="005E625F" w:rsidRPr="00C8619E">
        <w:rPr>
          <w:rFonts w:ascii="Times New Roman" w:hAnsi="Times New Roman" w:cs="Times New Roman"/>
          <w:sz w:val="24"/>
          <w:szCs w:val="24"/>
        </w:rPr>
        <w:t xml:space="preserve"> to the Supreme Court for a writ of mandamus</w:t>
      </w:r>
      <w:r w:rsidR="00AC1399">
        <w:rPr>
          <w:rFonts w:ascii="Times New Roman" w:hAnsi="Times New Roman" w:cs="Times New Roman"/>
          <w:sz w:val="24"/>
          <w:szCs w:val="24"/>
        </w:rPr>
        <w:t xml:space="preserve"> to </w:t>
      </w:r>
      <w:r w:rsidR="00AA0BF9" w:rsidRPr="00C8619E">
        <w:rPr>
          <w:rFonts w:ascii="Times New Roman" w:hAnsi="Times New Roman" w:cs="Times New Roman"/>
          <w:sz w:val="24"/>
          <w:szCs w:val="24"/>
        </w:rPr>
        <w:t>order Madison to deliver</w:t>
      </w:r>
      <w:r w:rsidR="00C8619E" w:rsidRPr="00C8619E">
        <w:rPr>
          <w:rFonts w:ascii="Times New Roman" w:hAnsi="Times New Roman" w:cs="Times New Roman"/>
          <w:sz w:val="24"/>
          <w:szCs w:val="24"/>
        </w:rPr>
        <w:t xml:space="preserve"> the c</w:t>
      </w:r>
      <w:r w:rsidR="00AA0BF9" w:rsidRPr="00C8619E">
        <w:rPr>
          <w:rFonts w:ascii="Times New Roman" w:hAnsi="Times New Roman" w:cs="Times New Roman"/>
          <w:sz w:val="24"/>
          <w:szCs w:val="24"/>
        </w:rPr>
        <w:t>ommission</w:t>
      </w:r>
      <w:r w:rsidR="005E625F" w:rsidRPr="00C8619E">
        <w:rPr>
          <w:rFonts w:ascii="Times New Roman" w:hAnsi="Times New Roman" w:cs="Times New Roman"/>
          <w:sz w:val="24"/>
          <w:szCs w:val="24"/>
        </w:rPr>
        <w:t xml:space="preserve">. </w:t>
      </w:r>
      <w:r w:rsidR="00FE6613" w:rsidRPr="00C8619E">
        <w:rPr>
          <w:rFonts w:ascii="Times New Roman" w:hAnsi="Times New Roman" w:cs="Times New Roman"/>
          <w:sz w:val="24"/>
          <w:szCs w:val="24"/>
        </w:rPr>
        <w:t xml:space="preserve"> Marbury argued that the Original Judiciary Act of 1789 granted the Supreme Court original jurisdiction over petitions for writs of mandamus; an argument </w:t>
      </w:r>
      <w:r w:rsidR="00C8619E" w:rsidRPr="00C8619E">
        <w:rPr>
          <w:rFonts w:ascii="Times New Roman" w:hAnsi="Times New Roman" w:cs="Times New Roman"/>
          <w:sz w:val="24"/>
          <w:szCs w:val="24"/>
        </w:rPr>
        <w:t>which</w:t>
      </w:r>
      <w:r w:rsidR="00FE6613" w:rsidRPr="00C8619E">
        <w:rPr>
          <w:rFonts w:ascii="Times New Roman" w:hAnsi="Times New Roman" w:cs="Times New Roman"/>
          <w:sz w:val="24"/>
          <w:szCs w:val="24"/>
        </w:rPr>
        <w:t xml:space="preserve"> raised several question for the Supreme Court to address.</w:t>
      </w:r>
      <w:r w:rsidR="00AA0BF9" w:rsidRPr="00C8619E">
        <w:rPr>
          <w:rFonts w:ascii="Times New Roman" w:hAnsi="Times New Roman" w:cs="Times New Roman"/>
          <w:sz w:val="24"/>
          <w:szCs w:val="24"/>
        </w:rPr>
        <w:t xml:space="preserve"> </w:t>
      </w:r>
    </w:p>
    <w:p w:rsidR="00AA0BF9" w:rsidRPr="00C8619E" w:rsidRDefault="00C8619E" w:rsidP="00F3591A">
      <w:pPr>
        <w:spacing w:line="480" w:lineRule="auto"/>
        <w:rPr>
          <w:rFonts w:ascii="Times New Roman" w:hAnsi="Times New Roman" w:cs="Times New Roman"/>
          <w:sz w:val="24"/>
          <w:szCs w:val="24"/>
        </w:rPr>
      </w:pPr>
      <w:r w:rsidRPr="00C8619E">
        <w:rPr>
          <w:rFonts w:ascii="Times New Roman" w:hAnsi="Times New Roman" w:cs="Times New Roman"/>
          <w:sz w:val="24"/>
          <w:szCs w:val="24"/>
        </w:rPr>
        <w:t>N</w:t>
      </w:r>
      <w:r w:rsidR="00AA0BF9" w:rsidRPr="00C8619E">
        <w:rPr>
          <w:rFonts w:ascii="Times New Roman" w:hAnsi="Times New Roman" w:cs="Times New Roman"/>
          <w:sz w:val="24"/>
          <w:szCs w:val="24"/>
        </w:rPr>
        <w:t xml:space="preserve">othing in the Constitutional text explicitly authorizes the Supreme Courts power of judicial review. As laid out in </w:t>
      </w:r>
      <w:r w:rsidR="00AC1399">
        <w:rPr>
          <w:rFonts w:ascii="Times New Roman" w:hAnsi="Times New Roman" w:cs="Times New Roman"/>
          <w:sz w:val="24"/>
          <w:szCs w:val="24"/>
        </w:rPr>
        <w:t xml:space="preserve">The </w:t>
      </w:r>
      <w:r w:rsidR="00AA0BF9" w:rsidRPr="00C8619E">
        <w:rPr>
          <w:rFonts w:ascii="Times New Roman" w:hAnsi="Times New Roman" w:cs="Times New Roman"/>
          <w:sz w:val="24"/>
          <w:szCs w:val="24"/>
        </w:rPr>
        <w:t xml:space="preserve">Federalist Papers, </w:t>
      </w:r>
      <w:r w:rsidR="00AC1399">
        <w:rPr>
          <w:rFonts w:ascii="Times New Roman" w:hAnsi="Times New Roman" w:cs="Times New Roman"/>
          <w:sz w:val="24"/>
          <w:szCs w:val="24"/>
        </w:rPr>
        <w:t xml:space="preserve">if there is a choice between a </w:t>
      </w:r>
      <w:r w:rsidR="000F37C8" w:rsidRPr="00C8619E">
        <w:rPr>
          <w:rFonts w:ascii="Times New Roman" w:hAnsi="Times New Roman" w:cs="Times New Roman"/>
          <w:sz w:val="24"/>
          <w:szCs w:val="24"/>
        </w:rPr>
        <w:t xml:space="preserve">law </w:t>
      </w:r>
      <w:proofErr w:type="gramStart"/>
      <w:r w:rsidR="000F37C8" w:rsidRPr="00C8619E">
        <w:rPr>
          <w:rFonts w:ascii="Times New Roman" w:hAnsi="Times New Roman" w:cs="Times New Roman"/>
          <w:sz w:val="24"/>
          <w:szCs w:val="24"/>
        </w:rPr>
        <w:t>or</w:t>
      </w:r>
      <w:proofErr w:type="gramEnd"/>
      <w:r w:rsidR="000F37C8" w:rsidRPr="00C8619E">
        <w:rPr>
          <w:rFonts w:ascii="Times New Roman" w:hAnsi="Times New Roman" w:cs="Times New Roman"/>
          <w:sz w:val="24"/>
          <w:szCs w:val="24"/>
        </w:rPr>
        <w:t xml:space="preserve"> the Constitution, “The Constitution ought to be preferred to the statute, the intention of the people to the intention of their agents.”</w:t>
      </w:r>
      <w:r w:rsidR="007D4215">
        <w:rPr>
          <w:rFonts w:ascii="Times New Roman" w:hAnsi="Times New Roman" w:cs="Times New Roman"/>
          <w:sz w:val="24"/>
          <w:szCs w:val="24"/>
        </w:rPr>
        <w:t xml:space="preserve"> (</w:t>
      </w:r>
      <w:r w:rsidR="003B76A7">
        <w:rPr>
          <w:rFonts w:ascii="Times New Roman" w:hAnsi="Times New Roman" w:cs="Times New Roman"/>
          <w:sz w:val="24"/>
          <w:szCs w:val="24"/>
        </w:rPr>
        <w:t>Hamilton</w:t>
      </w:r>
      <w:r w:rsidR="002D78CF">
        <w:rPr>
          <w:rFonts w:ascii="Times New Roman" w:hAnsi="Times New Roman" w:cs="Times New Roman"/>
          <w:sz w:val="24"/>
          <w:szCs w:val="24"/>
        </w:rPr>
        <w:t xml:space="preserve"> 1788)</w:t>
      </w:r>
      <w:r w:rsidR="000F37C8" w:rsidRPr="00C8619E">
        <w:rPr>
          <w:rFonts w:ascii="Times New Roman" w:hAnsi="Times New Roman" w:cs="Times New Roman"/>
          <w:sz w:val="24"/>
          <w:szCs w:val="24"/>
        </w:rPr>
        <w:t xml:space="preserve"> Furthermore, how </w:t>
      </w:r>
      <w:r w:rsidR="00AC1399">
        <w:rPr>
          <w:rFonts w:ascii="Times New Roman" w:hAnsi="Times New Roman" w:cs="Times New Roman"/>
          <w:sz w:val="24"/>
          <w:szCs w:val="24"/>
        </w:rPr>
        <w:t>could</w:t>
      </w:r>
      <w:r w:rsidR="000F37C8" w:rsidRPr="00C8619E">
        <w:rPr>
          <w:rFonts w:ascii="Times New Roman" w:hAnsi="Times New Roman" w:cs="Times New Roman"/>
          <w:sz w:val="24"/>
          <w:szCs w:val="24"/>
        </w:rPr>
        <w:t xml:space="preserve"> a checks </w:t>
      </w:r>
      <w:r w:rsidRPr="00C8619E">
        <w:rPr>
          <w:rFonts w:ascii="Times New Roman" w:hAnsi="Times New Roman" w:cs="Times New Roman"/>
          <w:sz w:val="24"/>
          <w:szCs w:val="24"/>
        </w:rPr>
        <w:t>and balance system operate if one</w:t>
      </w:r>
      <w:r w:rsidR="000F37C8" w:rsidRPr="00C8619E">
        <w:rPr>
          <w:rFonts w:ascii="Times New Roman" w:hAnsi="Times New Roman" w:cs="Times New Roman"/>
          <w:sz w:val="24"/>
          <w:szCs w:val="24"/>
        </w:rPr>
        <w:t xml:space="preserve"> </w:t>
      </w:r>
      <w:r w:rsidRPr="00C8619E">
        <w:rPr>
          <w:rFonts w:ascii="Times New Roman" w:hAnsi="Times New Roman" w:cs="Times New Roman"/>
          <w:sz w:val="24"/>
          <w:szCs w:val="24"/>
        </w:rPr>
        <w:t>branch</w:t>
      </w:r>
      <w:r w:rsidR="000F37C8" w:rsidRPr="00C8619E">
        <w:rPr>
          <w:rFonts w:ascii="Times New Roman" w:hAnsi="Times New Roman" w:cs="Times New Roman"/>
          <w:sz w:val="24"/>
          <w:szCs w:val="24"/>
        </w:rPr>
        <w:t xml:space="preserve"> </w:t>
      </w:r>
      <w:r w:rsidR="00AC1399">
        <w:rPr>
          <w:rFonts w:ascii="Times New Roman" w:hAnsi="Times New Roman" w:cs="Times New Roman"/>
          <w:sz w:val="24"/>
          <w:szCs w:val="24"/>
        </w:rPr>
        <w:t>could</w:t>
      </w:r>
      <w:r w:rsidR="000F37C8" w:rsidRPr="00C8619E">
        <w:rPr>
          <w:rFonts w:ascii="Times New Roman" w:hAnsi="Times New Roman" w:cs="Times New Roman"/>
          <w:sz w:val="24"/>
          <w:szCs w:val="24"/>
        </w:rPr>
        <w:t xml:space="preserve"> impose statu</w:t>
      </w:r>
      <w:r w:rsidR="00C4776D">
        <w:rPr>
          <w:rFonts w:ascii="Times New Roman" w:hAnsi="Times New Roman" w:cs="Times New Roman"/>
          <w:sz w:val="24"/>
          <w:szCs w:val="24"/>
        </w:rPr>
        <w:t>t</w:t>
      </w:r>
      <w:r w:rsidR="000F37C8" w:rsidRPr="00C8619E">
        <w:rPr>
          <w:rFonts w:ascii="Times New Roman" w:hAnsi="Times New Roman" w:cs="Times New Roman"/>
          <w:sz w:val="24"/>
          <w:szCs w:val="24"/>
        </w:rPr>
        <w:t>es that limit</w:t>
      </w:r>
      <w:r w:rsidR="00AA7017" w:rsidRPr="00C8619E">
        <w:rPr>
          <w:rFonts w:ascii="Times New Roman" w:hAnsi="Times New Roman" w:cs="Times New Roman"/>
          <w:sz w:val="24"/>
          <w:szCs w:val="24"/>
        </w:rPr>
        <w:t xml:space="preserve"> or expand</w:t>
      </w:r>
      <w:r w:rsidR="000F37C8" w:rsidRPr="00C8619E">
        <w:rPr>
          <w:rFonts w:ascii="Times New Roman" w:hAnsi="Times New Roman" w:cs="Times New Roman"/>
          <w:sz w:val="24"/>
          <w:szCs w:val="24"/>
        </w:rPr>
        <w:t xml:space="preserve"> the power of </w:t>
      </w:r>
      <w:r w:rsidR="009C05EE" w:rsidRPr="00C8619E">
        <w:rPr>
          <w:rFonts w:ascii="Times New Roman" w:hAnsi="Times New Roman" w:cs="Times New Roman"/>
          <w:sz w:val="24"/>
          <w:szCs w:val="24"/>
        </w:rPr>
        <w:t>another?</w:t>
      </w:r>
      <w:r w:rsidR="000F37C8" w:rsidRPr="00C8619E">
        <w:rPr>
          <w:rFonts w:ascii="Times New Roman" w:hAnsi="Times New Roman" w:cs="Times New Roman"/>
          <w:sz w:val="24"/>
          <w:szCs w:val="24"/>
        </w:rPr>
        <w:t xml:space="preserve"> </w:t>
      </w:r>
      <w:r w:rsidR="00AA7017" w:rsidRPr="00C8619E">
        <w:rPr>
          <w:rFonts w:ascii="Times New Roman" w:hAnsi="Times New Roman" w:cs="Times New Roman"/>
          <w:sz w:val="24"/>
          <w:szCs w:val="24"/>
        </w:rPr>
        <w:t xml:space="preserve">The </w:t>
      </w:r>
      <w:r w:rsidR="000F37C8" w:rsidRPr="00C8619E">
        <w:rPr>
          <w:rFonts w:ascii="Times New Roman" w:hAnsi="Times New Roman" w:cs="Times New Roman"/>
          <w:sz w:val="24"/>
          <w:szCs w:val="24"/>
        </w:rPr>
        <w:t>Judiciary Act of 1789</w:t>
      </w:r>
      <w:r w:rsidR="00AA7017" w:rsidRPr="00C8619E">
        <w:rPr>
          <w:rFonts w:ascii="Times New Roman" w:hAnsi="Times New Roman" w:cs="Times New Roman"/>
          <w:sz w:val="24"/>
          <w:szCs w:val="24"/>
        </w:rPr>
        <w:t xml:space="preserve"> granted the Supreme Court </w:t>
      </w:r>
      <w:r w:rsidRPr="00C8619E">
        <w:rPr>
          <w:rFonts w:ascii="Times New Roman" w:hAnsi="Times New Roman" w:cs="Times New Roman"/>
          <w:sz w:val="24"/>
          <w:szCs w:val="24"/>
        </w:rPr>
        <w:t xml:space="preserve">original </w:t>
      </w:r>
      <w:r w:rsidR="00AA7017" w:rsidRPr="00C8619E">
        <w:rPr>
          <w:rFonts w:ascii="Times New Roman" w:hAnsi="Times New Roman" w:cs="Times New Roman"/>
          <w:sz w:val="24"/>
          <w:szCs w:val="24"/>
        </w:rPr>
        <w:t>jurisdiction over petitions for writs of mandamus, thus</w:t>
      </w:r>
      <w:r w:rsidR="000F37C8" w:rsidRPr="00C8619E">
        <w:rPr>
          <w:rFonts w:ascii="Times New Roman" w:hAnsi="Times New Roman" w:cs="Times New Roman"/>
          <w:sz w:val="24"/>
          <w:szCs w:val="24"/>
        </w:rPr>
        <w:t xml:space="preserve"> </w:t>
      </w:r>
      <w:r w:rsidR="00AA7017" w:rsidRPr="00C8619E">
        <w:rPr>
          <w:rFonts w:ascii="Times New Roman" w:hAnsi="Times New Roman" w:cs="Times New Roman"/>
          <w:sz w:val="24"/>
          <w:szCs w:val="24"/>
        </w:rPr>
        <w:t xml:space="preserve">expanding upon the Supreme Courts scope of </w:t>
      </w:r>
      <w:r w:rsidR="000F37C8" w:rsidRPr="00C8619E">
        <w:rPr>
          <w:rFonts w:ascii="Times New Roman" w:hAnsi="Times New Roman" w:cs="Times New Roman"/>
          <w:sz w:val="24"/>
          <w:szCs w:val="24"/>
        </w:rPr>
        <w:t>original jurisdiction</w:t>
      </w:r>
      <w:r w:rsidR="00AA7017" w:rsidRPr="00C8619E">
        <w:rPr>
          <w:rFonts w:ascii="Times New Roman" w:hAnsi="Times New Roman" w:cs="Times New Roman"/>
          <w:sz w:val="24"/>
          <w:szCs w:val="24"/>
        </w:rPr>
        <w:t>.</w:t>
      </w:r>
      <w:r w:rsidR="000F37C8" w:rsidRPr="00C8619E">
        <w:rPr>
          <w:rFonts w:ascii="Times New Roman" w:hAnsi="Times New Roman" w:cs="Times New Roman"/>
          <w:sz w:val="24"/>
          <w:szCs w:val="24"/>
        </w:rPr>
        <w:t xml:space="preserve"> </w:t>
      </w:r>
      <w:r w:rsidR="00AA7017" w:rsidRPr="00C8619E">
        <w:rPr>
          <w:rFonts w:ascii="Times New Roman" w:hAnsi="Times New Roman" w:cs="Times New Roman"/>
          <w:sz w:val="24"/>
          <w:szCs w:val="24"/>
        </w:rPr>
        <w:t xml:space="preserve"> </w:t>
      </w:r>
      <w:r w:rsidR="00AC1399">
        <w:rPr>
          <w:rFonts w:ascii="Times New Roman" w:hAnsi="Times New Roman" w:cs="Times New Roman"/>
          <w:sz w:val="24"/>
          <w:szCs w:val="24"/>
        </w:rPr>
        <w:t>If</w:t>
      </w:r>
      <w:r w:rsidR="00AA7017" w:rsidRPr="00C8619E">
        <w:rPr>
          <w:rFonts w:ascii="Times New Roman" w:hAnsi="Times New Roman" w:cs="Times New Roman"/>
          <w:sz w:val="24"/>
          <w:szCs w:val="24"/>
        </w:rPr>
        <w:t xml:space="preserve"> </w:t>
      </w:r>
      <w:r w:rsidR="00AA7017" w:rsidRPr="00C8619E">
        <w:rPr>
          <w:rFonts w:ascii="Times New Roman" w:hAnsi="Times New Roman" w:cs="Times New Roman"/>
          <w:sz w:val="24"/>
          <w:szCs w:val="24"/>
        </w:rPr>
        <w:lastRenderedPageBreak/>
        <w:t xml:space="preserve">Congress </w:t>
      </w:r>
      <w:r w:rsidR="00AC1399">
        <w:rPr>
          <w:rFonts w:ascii="Times New Roman" w:hAnsi="Times New Roman" w:cs="Times New Roman"/>
          <w:sz w:val="24"/>
          <w:szCs w:val="24"/>
        </w:rPr>
        <w:t>were</w:t>
      </w:r>
      <w:r w:rsidR="00AA7017" w:rsidRPr="00C8619E">
        <w:rPr>
          <w:rFonts w:ascii="Times New Roman" w:hAnsi="Times New Roman" w:cs="Times New Roman"/>
          <w:sz w:val="24"/>
          <w:szCs w:val="24"/>
        </w:rPr>
        <w:t xml:space="preserve"> allowed to continually expand the role of the Judiciary branch outside of the original fr</w:t>
      </w:r>
      <w:r w:rsidRPr="00C8619E">
        <w:rPr>
          <w:rFonts w:ascii="Times New Roman" w:hAnsi="Times New Roman" w:cs="Times New Roman"/>
          <w:sz w:val="24"/>
          <w:szCs w:val="24"/>
        </w:rPr>
        <w:t>amework set by th</w:t>
      </w:r>
      <w:r w:rsidR="00AC1399">
        <w:rPr>
          <w:rFonts w:ascii="Times New Roman" w:hAnsi="Times New Roman" w:cs="Times New Roman"/>
          <w:sz w:val="24"/>
          <w:szCs w:val="24"/>
        </w:rPr>
        <w:t xml:space="preserve">e Constitution, a potentially </w:t>
      </w:r>
      <w:r w:rsidRPr="00C8619E">
        <w:rPr>
          <w:rFonts w:ascii="Times New Roman" w:hAnsi="Times New Roman" w:cs="Times New Roman"/>
          <w:sz w:val="24"/>
          <w:szCs w:val="24"/>
        </w:rPr>
        <w:t xml:space="preserve">exhaustive opportunity to assert power </w:t>
      </w:r>
      <w:r w:rsidR="00AA7017" w:rsidRPr="00C8619E">
        <w:rPr>
          <w:rFonts w:ascii="Times New Roman" w:hAnsi="Times New Roman" w:cs="Times New Roman"/>
          <w:sz w:val="24"/>
          <w:szCs w:val="24"/>
        </w:rPr>
        <w:t>over the Judiciary branch</w:t>
      </w:r>
      <w:r w:rsidR="00AC1399">
        <w:rPr>
          <w:rFonts w:ascii="Times New Roman" w:hAnsi="Times New Roman" w:cs="Times New Roman"/>
          <w:sz w:val="24"/>
          <w:szCs w:val="24"/>
        </w:rPr>
        <w:t xml:space="preserve"> would exist</w:t>
      </w:r>
      <w:r w:rsidR="00AA7017" w:rsidRPr="00C8619E">
        <w:rPr>
          <w:rFonts w:ascii="Times New Roman" w:hAnsi="Times New Roman" w:cs="Times New Roman"/>
          <w:sz w:val="24"/>
          <w:szCs w:val="24"/>
        </w:rPr>
        <w:t>. Again</w:t>
      </w:r>
      <w:r w:rsidRPr="00C8619E">
        <w:rPr>
          <w:rFonts w:ascii="Times New Roman" w:hAnsi="Times New Roman" w:cs="Times New Roman"/>
          <w:sz w:val="24"/>
          <w:szCs w:val="24"/>
        </w:rPr>
        <w:t>,</w:t>
      </w:r>
      <w:r w:rsidR="00AA7017" w:rsidRPr="00C8619E">
        <w:rPr>
          <w:rFonts w:ascii="Times New Roman" w:hAnsi="Times New Roman" w:cs="Times New Roman"/>
          <w:sz w:val="24"/>
          <w:szCs w:val="24"/>
        </w:rPr>
        <w:t xml:space="preserve"> it was a question of the intention of the people (the Constitution) verses that of their agents (Congress) and the statutes they </w:t>
      </w:r>
      <w:r w:rsidR="00A263F2" w:rsidRPr="00C8619E">
        <w:rPr>
          <w:rFonts w:ascii="Times New Roman" w:hAnsi="Times New Roman" w:cs="Times New Roman"/>
          <w:sz w:val="24"/>
          <w:szCs w:val="24"/>
        </w:rPr>
        <w:t>enact</w:t>
      </w:r>
      <w:r w:rsidR="00AA7017" w:rsidRPr="00C8619E">
        <w:rPr>
          <w:rFonts w:ascii="Times New Roman" w:hAnsi="Times New Roman" w:cs="Times New Roman"/>
          <w:sz w:val="24"/>
          <w:szCs w:val="24"/>
        </w:rPr>
        <w:t>.</w:t>
      </w:r>
    </w:p>
    <w:p w:rsidR="005D0301" w:rsidRDefault="00AA7017" w:rsidP="00F3591A">
      <w:pPr>
        <w:spacing w:line="480" w:lineRule="auto"/>
        <w:rPr>
          <w:rFonts w:ascii="Times New Roman" w:hAnsi="Times New Roman" w:cs="Times New Roman"/>
          <w:sz w:val="24"/>
          <w:szCs w:val="24"/>
        </w:rPr>
      </w:pPr>
      <w:r w:rsidRPr="00C8619E">
        <w:rPr>
          <w:rFonts w:ascii="Times New Roman" w:hAnsi="Times New Roman" w:cs="Times New Roman"/>
          <w:sz w:val="24"/>
          <w:szCs w:val="24"/>
        </w:rPr>
        <w:t>Chief Justice Marshall wrote the opinion of the court after it</w:t>
      </w:r>
      <w:r w:rsidR="00962C61" w:rsidRPr="00C8619E">
        <w:rPr>
          <w:rFonts w:ascii="Times New Roman" w:hAnsi="Times New Roman" w:cs="Times New Roman"/>
          <w:sz w:val="24"/>
          <w:szCs w:val="24"/>
        </w:rPr>
        <w:t xml:space="preserve"> rendered a unanimous </w:t>
      </w:r>
      <w:r w:rsidR="004A6443" w:rsidRPr="00C8619E">
        <w:rPr>
          <w:rFonts w:ascii="Times New Roman" w:hAnsi="Times New Roman" w:cs="Times New Roman"/>
          <w:sz w:val="24"/>
          <w:szCs w:val="24"/>
        </w:rPr>
        <w:t>decision</w:t>
      </w:r>
      <w:r w:rsidR="00962C61" w:rsidRPr="00C8619E">
        <w:rPr>
          <w:rFonts w:ascii="Times New Roman" w:hAnsi="Times New Roman" w:cs="Times New Roman"/>
          <w:sz w:val="24"/>
          <w:szCs w:val="24"/>
        </w:rPr>
        <w:t xml:space="preserve"> (4-0) that Marbury had the right to his c</w:t>
      </w:r>
      <w:r w:rsidR="00C8619E" w:rsidRPr="00C8619E">
        <w:rPr>
          <w:rFonts w:ascii="Times New Roman" w:hAnsi="Times New Roman" w:cs="Times New Roman"/>
          <w:sz w:val="24"/>
          <w:szCs w:val="24"/>
        </w:rPr>
        <w:t>ommission but that the C</w:t>
      </w:r>
      <w:r w:rsidR="00962C61" w:rsidRPr="00C8619E">
        <w:rPr>
          <w:rFonts w:ascii="Times New Roman" w:hAnsi="Times New Roman" w:cs="Times New Roman"/>
          <w:sz w:val="24"/>
          <w:szCs w:val="24"/>
        </w:rPr>
        <w:t xml:space="preserve">ourt </w:t>
      </w:r>
      <w:r w:rsidR="00962C61" w:rsidRPr="00C8619E">
        <w:rPr>
          <w:rFonts w:ascii="Times New Roman" w:hAnsi="Times New Roman" w:cs="Times New Roman"/>
          <w:i/>
          <w:sz w:val="24"/>
          <w:szCs w:val="24"/>
        </w:rPr>
        <w:t>did not</w:t>
      </w:r>
      <w:r w:rsidR="00962C61" w:rsidRPr="00C8619E">
        <w:rPr>
          <w:rFonts w:ascii="Times New Roman" w:hAnsi="Times New Roman" w:cs="Times New Roman"/>
          <w:sz w:val="24"/>
          <w:szCs w:val="24"/>
        </w:rPr>
        <w:t xml:space="preserve"> have the power to force Madison to deliver the commission</w:t>
      </w:r>
      <w:r w:rsidR="00C8619E" w:rsidRPr="00C8619E">
        <w:rPr>
          <w:rFonts w:ascii="Times New Roman" w:hAnsi="Times New Roman" w:cs="Times New Roman"/>
          <w:sz w:val="24"/>
          <w:szCs w:val="24"/>
        </w:rPr>
        <w:t>. More importantly</w:t>
      </w:r>
      <w:r w:rsidR="00962C61" w:rsidRPr="00C8619E">
        <w:rPr>
          <w:rFonts w:ascii="Times New Roman" w:hAnsi="Times New Roman" w:cs="Times New Roman"/>
          <w:sz w:val="24"/>
          <w:szCs w:val="24"/>
        </w:rPr>
        <w:t xml:space="preserve">, this decision laid the groundwork for what </w:t>
      </w:r>
      <w:r w:rsidR="00AC1399">
        <w:rPr>
          <w:rFonts w:ascii="Times New Roman" w:hAnsi="Times New Roman" w:cs="Times New Roman"/>
          <w:sz w:val="24"/>
          <w:szCs w:val="24"/>
        </w:rPr>
        <w:t>became</w:t>
      </w:r>
      <w:r w:rsidR="00962C61" w:rsidRPr="00C8619E">
        <w:rPr>
          <w:rFonts w:ascii="Times New Roman" w:hAnsi="Times New Roman" w:cs="Times New Roman"/>
          <w:sz w:val="24"/>
          <w:szCs w:val="24"/>
        </w:rPr>
        <w:t xml:space="preserve"> the judicial review process. Since the Constitution is the ground</w:t>
      </w:r>
      <w:r w:rsidR="00AC1399">
        <w:rPr>
          <w:rFonts w:ascii="Times New Roman" w:hAnsi="Times New Roman" w:cs="Times New Roman"/>
          <w:sz w:val="24"/>
          <w:szCs w:val="24"/>
        </w:rPr>
        <w:t xml:space="preserve">ing framework of </w:t>
      </w:r>
      <w:r w:rsidR="00962C61" w:rsidRPr="00C8619E">
        <w:rPr>
          <w:rFonts w:ascii="Times New Roman" w:hAnsi="Times New Roman" w:cs="Times New Roman"/>
          <w:sz w:val="24"/>
          <w:szCs w:val="24"/>
        </w:rPr>
        <w:t>law</w:t>
      </w:r>
      <w:r w:rsidR="00AC1399">
        <w:rPr>
          <w:rFonts w:ascii="Times New Roman" w:hAnsi="Times New Roman" w:cs="Times New Roman"/>
          <w:sz w:val="24"/>
          <w:szCs w:val="24"/>
        </w:rPr>
        <w:t>s</w:t>
      </w:r>
      <w:r w:rsidR="00962C61" w:rsidRPr="00C8619E">
        <w:rPr>
          <w:rFonts w:ascii="Times New Roman" w:hAnsi="Times New Roman" w:cs="Times New Roman"/>
          <w:sz w:val="24"/>
          <w:szCs w:val="24"/>
        </w:rPr>
        <w:t>, it became the decision of the Court that it was their duty t</w:t>
      </w:r>
      <w:r w:rsidR="00F3591A">
        <w:rPr>
          <w:rFonts w:ascii="Times New Roman" w:hAnsi="Times New Roman" w:cs="Times New Roman"/>
          <w:sz w:val="24"/>
          <w:szCs w:val="24"/>
        </w:rPr>
        <w:t>o u</w:t>
      </w:r>
      <w:r w:rsidR="00AC1399">
        <w:rPr>
          <w:rFonts w:ascii="Times New Roman" w:hAnsi="Times New Roman" w:cs="Times New Roman"/>
          <w:sz w:val="24"/>
          <w:szCs w:val="24"/>
        </w:rPr>
        <w:t xml:space="preserve">phold the Constitution </w:t>
      </w:r>
      <w:r w:rsidR="00F3591A">
        <w:rPr>
          <w:rFonts w:ascii="Times New Roman" w:hAnsi="Times New Roman" w:cs="Times New Roman"/>
          <w:sz w:val="24"/>
          <w:szCs w:val="24"/>
        </w:rPr>
        <w:t xml:space="preserve">and </w:t>
      </w:r>
      <w:r w:rsidR="00962C61" w:rsidRPr="00C8619E">
        <w:rPr>
          <w:rFonts w:ascii="Times New Roman" w:hAnsi="Times New Roman" w:cs="Times New Roman"/>
          <w:sz w:val="24"/>
          <w:szCs w:val="24"/>
        </w:rPr>
        <w:t xml:space="preserve">interpret whether </w:t>
      </w:r>
      <w:r w:rsidR="00C8619E" w:rsidRPr="00C8619E">
        <w:rPr>
          <w:rFonts w:ascii="Times New Roman" w:hAnsi="Times New Roman" w:cs="Times New Roman"/>
          <w:sz w:val="24"/>
          <w:szCs w:val="24"/>
        </w:rPr>
        <w:t>a</w:t>
      </w:r>
      <w:r w:rsidR="00962C61" w:rsidRPr="00C8619E">
        <w:rPr>
          <w:rFonts w:ascii="Times New Roman" w:hAnsi="Times New Roman" w:cs="Times New Roman"/>
          <w:sz w:val="24"/>
          <w:szCs w:val="24"/>
        </w:rPr>
        <w:t xml:space="preserve">cts of Congress </w:t>
      </w:r>
      <w:r w:rsidR="00C8619E" w:rsidRPr="00C8619E">
        <w:rPr>
          <w:rFonts w:ascii="Times New Roman" w:hAnsi="Times New Roman" w:cs="Times New Roman"/>
          <w:sz w:val="24"/>
          <w:szCs w:val="24"/>
        </w:rPr>
        <w:t xml:space="preserve">or the Executive branch </w:t>
      </w:r>
      <w:r w:rsidR="00AC1399">
        <w:rPr>
          <w:rFonts w:ascii="Times New Roman" w:hAnsi="Times New Roman" w:cs="Times New Roman"/>
          <w:sz w:val="24"/>
          <w:szCs w:val="24"/>
        </w:rPr>
        <w:t>are</w:t>
      </w:r>
      <w:r w:rsidR="00962C61" w:rsidRPr="00C8619E">
        <w:rPr>
          <w:rFonts w:ascii="Times New Roman" w:hAnsi="Times New Roman" w:cs="Times New Roman"/>
          <w:sz w:val="24"/>
          <w:szCs w:val="24"/>
        </w:rPr>
        <w:t xml:space="preserve"> Un-Constitutional. </w:t>
      </w:r>
      <w:r w:rsidR="003B76A7">
        <w:rPr>
          <w:rFonts w:ascii="Times New Roman" w:hAnsi="Times New Roman" w:cs="Times New Roman"/>
          <w:sz w:val="24"/>
          <w:szCs w:val="24"/>
        </w:rPr>
        <w:t>In Chief Justice Marshall’s written opinion (Marbury v. Madison. 1803</w:t>
      </w:r>
      <w:r w:rsidR="003B76A7" w:rsidRPr="003B76A7">
        <w:rPr>
          <w:rFonts w:ascii="Times New Roman" w:hAnsi="Times New Roman" w:cs="Times New Roman"/>
          <w:sz w:val="24"/>
          <w:szCs w:val="24"/>
        </w:rPr>
        <w:t>)</w:t>
      </w:r>
      <w:r w:rsidR="003B76A7">
        <w:rPr>
          <w:rFonts w:ascii="Times New Roman" w:hAnsi="Times New Roman" w:cs="Times New Roman"/>
          <w:sz w:val="24"/>
          <w:szCs w:val="24"/>
        </w:rPr>
        <w:t xml:space="preserve"> </w:t>
      </w:r>
      <w:r w:rsidR="007F204A" w:rsidRPr="00C8619E">
        <w:rPr>
          <w:rFonts w:ascii="Times New Roman" w:hAnsi="Times New Roman" w:cs="Times New Roman"/>
          <w:sz w:val="24"/>
          <w:szCs w:val="24"/>
        </w:rPr>
        <w:t>"It is, emphatically, the province [within court's power] and duty of the judicial department [the courts] to say what the law is.</w:t>
      </w:r>
      <w:r w:rsidR="005D0301" w:rsidRPr="00C8619E">
        <w:rPr>
          <w:rFonts w:ascii="Times New Roman" w:hAnsi="Times New Roman" w:cs="Times New Roman"/>
          <w:sz w:val="24"/>
          <w:szCs w:val="24"/>
        </w:rPr>
        <w:t>”</w:t>
      </w:r>
      <w:r w:rsidR="007D4215" w:rsidRPr="007D4215">
        <w:t xml:space="preserve"> </w:t>
      </w:r>
      <w:r w:rsidR="00DB16D2" w:rsidRPr="00C8619E">
        <w:rPr>
          <w:rFonts w:ascii="Times New Roman" w:hAnsi="Times New Roman" w:cs="Times New Roman"/>
          <w:sz w:val="24"/>
          <w:szCs w:val="24"/>
        </w:rPr>
        <w:t xml:space="preserve">This statement by Chief Justice Marshall </w:t>
      </w:r>
      <w:r w:rsidR="00AC1399">
        <w:rPr>
          <w:rFonts w:ascii="Times New Roman" w:hAnsi="Times New Roman" w:cs="Times New Roman"/>
          <w:sz w:val="24"/>
          <w:szCs w:val="24"/>
        </w:rPr>
        <w:t>inferred for</w:t>
      </w:r>
      <w:r w:rsidR="00DB16D2" w:rsidRPr="00C8619E">
        <w:rPr>
          <w:rFonts w:ascii="Times New Roman" w:hAnsi="Times New Roman" w:cs="Times New Roman"/>
          <w:sz w:val="24"/>
          <w:szCs w:val="24"/>
        </w:rPr>
        <w:t xml:space="preserve"> the Supreme Court to have equal powers to that of the executive and legislative branches of the government; allowing the Court to have judicial review of any law enacted by the other branches.</w:t>
      </w:r>
    </w:p>
    <w:p w:rsidR="007D4215" w:rsidRDefault="007D4215" w:rsidP="005D0301">
      <w:pPr>
        <w:rPr>
          <w:rFonts w:ascii="Times New Roman" w:hAnsi="Times New Roman" w:cs="Times New Roman"/>
          <w:sz w:val="24"/>
          <w:szCs w:val="24"/>
        </w:rPr>
      </w:pPr>
    </w:p>
    <w:p w:rsidR="00F3591A" w:rsidRDefault="00F3591A" w:rsidP="005D0301">
      <w:pPr>
        <w:rPr>
          <w:rFonts w:ascii="Times New Roman" w:hAnsi="Times New Roman" w:cs="Times New Roman"/>
          <w:sz w:val="24"/>
          <w:szCs w:val="24"/>
        </w:rPr>
      </w:pPr>
    </w:p>
    <w:p w:rsidR="00F3591A" w:rsidRDefault="00F3591A" w:rsidP="005D0301">
      <w:pPr>
        <w:rPr>
          <w:rFonts w:ascii="Times New Roman" w:hAnsi="Times New Roman" w:cs="Times New Roman"/>
          <w:sz w:val="24"/>
          <w:szCs w:val="24"/>
        </w:rPr>
      </w:pPr>
    </w:p>
    <w:p w:rsidR="00F3591A" w:rsidRDefault="00F3591A" w:rsidP="005D0301">
      <w:pPr>
        <w:rPr>
          <w:rFonts w:ascii="Times New Roman" w:hAnsi="Times New Roman" w:cs="Times New Roman"/>
          <w:sz w:val="24"/>
          <w:szCs w:val="24"/>
        </w:rPr>
      </w:pPr>
    </w:p>
    <w:p w:rsidR="00F3591A" w:rsidRDefault="00F3591A" w:rsidP="005D0301">
      <w:pPr>
        <w:rPr>
          <w:rFonts w:ascii="Times New Roman" w:hAnsi="Times New Roman" w:cs="Times New Roman"/>
          <w:sz w:val="24"/>
          <w:szCs w:val="24"/>
        </w:rPr>
      </w:pPr>
    </w:p>
    <w:p w:rsidR="00F3591A" w:rsidRDefault="00F3591A" w:rsidP="005D0301">
      <w:pPr>
        <w:rPr>
          <w:rFonts w:ascii="Times New Roman" w:hAnsi="Times New Roman" w:cs="Times New Roman"/>
          <w:sz w:val="24"/>
          <w:szCs w:val="24"/>
        </w:rPr>
      </w:pPr>
    </w:p>
    <w:p w:rsidR="00F3591A" w:rsidRDefault="00F3591A" w:rsidP="005D0301">
      <w:pPr>
        <w:rPr>
          <w:rFonts w:ascii="Times New Roman" w:hAnsi="Times New Roman" w:cs="Times New Roman"/>
          <w:sz w:val="24"/>
          <w:szCs w:val="24"/>
        </w:rPr>
      </w:pPr>
    </w:p>
    <w:p w:rsidR="00961953" w:rsidRDefault="00961953" w:rsidP="009C05EE">
      <w:pPr>
        <w:jc w:val="center"/>
        <w:rPr>
          <w:rFonts w:ascii="Times New Roman" w:hAnsi="Times New Roman" w:cs="Times New Roman"/>
          <w:sz w:val="24"/>
          <w:szCs w:val="24"/>
        </w:rPr>
      </w:pPr>
    </w:p>
    <w:p w:rsidR="00961953" w:rsidRDefault="00961953" w:rsidP="009C05EE">
      <w:pPr>
        <w:jc w:val="center"/>
        <w:rPr>
          <w:rFonts w:ascii="Times New Roman" w:hAnsi="Times New Roman" w:cs="Times New Roman"/>
          <w:sz w:val="24"/>
          <w:szCs w:val="24"/>
        </w:rPr>
      </w:pPr>
    </w:p>
    <w:p w:rsidR="007D4215" w:rsidRDefault="009C05EE" w:rsidP="009C05EE">
      <w:pPr>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References</w:t>
      </w:r>
    </w:p>
    <w:p w:rsidR="00107454" w:rsidRDefault="00107454" w:rsidP="009C05EE">
      <w:pPr>
        <w:rPr>
          <w:rFonts w:ascii="Times New Roman" w:hAnsi="Times New Roman" w:cs="Times New Roman"/>
          <w:sz w:val="24"/>
          <w:szCs w:val="24"/>
        </w:rPr>
      </w:pPr>
    </w:p>
    <w:p w:rsidR="009C05EE" w:rsidRDefault="007D4215" w:rsidP="009C05EE">
      <w:pPr>
        <w:rPr>
          <w:rFonts w:ascii="Times New Roman" w:hAnsi="Times New Roman" w:cs="Times New Roman"/>
          <w:sz w:val="24"/>
          <w:szCs w:val="24"/>
        </w:rPr>
      </w:pPr>
      <w:r w:rsidRPr="007D4215">
        <w:rPr>
          <w:rFonts w:ascii="Times New Roman" w:hAnsi="Times New Roman" w:cs="Times New Roman"/>
          <w:sz w:val="24"/>
          <w:szCs w:val="24"/>
        </w:rPr>
        <w:t>Hamilton,</w:t>
      </w:r>
      <w:r w:rsidR="003B76A7">
        <w:rPr>
          <w:rFonts w:ascii="Times New Roman" w:hAnsi="Times New Roman" w:cs="Times New Roman"/>
          <w:sz w:val="24"/>
          <w:szCs w:val="24"/>
        </w:rPr>
        <w:t xml:space="preserve"> A. (1788, June 14).</w:t>
      </w:r>
      <w:r w:rsidRPr="007D4215">
        <w:rPr>
          <w:rFonts w:ascii="Times New Roman" w:hAnsi="Times New Roman" w:cs="Times New Roman"/>
          <w:sz w:val="24"/>
          <w:szCs w:val="24"/>
        </w:rPr>
        <w:t xml:space="preserve"> </w:t>
      </w:r>
      <w:proofErr w:type="gramStart"/>
      <w:r w:rsidRPr="007D4215">
        <w:rPr>
          <w:rFonts w:ascii="Times New Roman" w:hAnsi="Times New Roman" w:cs="Times New Roman"/>
          <w:sz w:val="24"/>
          <w:szCs w:val="24"/>
        </w:rPr>
        <w:t>"Federalist #78," in The Federalist Papers,</w:t>
      </w:r>
      <w:r w:rsidR="003B76A7">
        <w:rPr>
          <w:rFonts w:ascii="Times New Roman" w:hAnsi="Times New Roman" w:cs="Times New Roman"/>
          <w:sz w:val="24"/>
          <w:szCs w:val="24"/>
        </w:rPr>
        <w:t xml:space="preserve"> </w:t>
      </w:r>
      <w:proofErr w:type="spellStart"/>
      <w:r w:rsidRPr="007D4215">
        <w:rPr>
          <w:rFonts w:ascii="Times New Roman" w:hAnsi="Times New Roman" w:cs="Times New Roman"/>
          <w:sz w:val="24"/>
          <w:szCs w:val="24"/>
        </w:rPr>
        <w:t>para</w:t>
      </w:r>
      <w:proofErr w:type="spellEnd"/>
      <w:r w:rsidRPr="007D4215">
        <w:rPr>
          <w:rFonts w:ascii="Times New Roman" w:hAnsi="Times New Roman" w:cs="Times New Roman"/>
          <w:sz w:val="24"/>
          <w:szCs w:val="24"/>
        </w:rPr>
        <w:t>.</w:t>
      </w:r>
      <w:proofErr w:type="gramEnd"/>
      <w:r w:rsidRPr="007D4215">
        <w:rPr>
          <w:rFonts w:ascii="Times New Roman" w:hAnsi="Times New Roman" w:cs="Times New Roman"/>
          <w:sz w:val="24"/>
          <w:szCs w:val="24"/>
        </w:rPr>
        <w:t xml:space="preserve"> 12 at </w:t>
      </w:r>
    </w:p>
    <w:p w:rsidR="009C05EE" w:rsidRDefault="009C05EE" w:rsidP="009C05EE">
      <w:pPr>
        <w:ind w:left="720"/>
        <w:rPr>
          <w:rFonts w:ascii="Times New Roman" w:hAnsi="Times New Roman" w:cs="Times New Roman"/>
          <w:sz w:val="24"/>
          <w:szCs w:val="24"/>
        </w:rPr>
      </w:pPr>
      <w:hyperlink r:id="rId7" w:history="1">
        <w:r w:rsidRPr="00D71AEB">
          <w:rPr>
            <w:rStyle w:val="Hyperlink"/>
            <w:rFonts w:ascii="Times New Roman" w:hAnsi="Times New Roman" w:cs="Times New Roman"/>
            <w:sz w:val="24"/>
            <w:szCs w:val="24"/>
          </w:rPr>
          <w:t>http://thom</w:t>
        </w:r>
        <w:r w:rsidRPr="00D71AEB">
          <w:rPr>
            <w:rStyle w:val="Hyperlink"/>
            <w:rFonts w:ascii="Times New Roman" w:hAnsi="Times New Roman" w:cs="Times New Roman"/>
            <w:sz w:val="24"/>
            <w:szCs w:val="24"/>
          </w:rPr>
          <w:t>a</w:t>
        </w:r>
        <w:r w:rsidRPr="00D71AEB">
          <w:rPr>
            <w:rStyle w:val="Hyperlink"/>
            <w:rFonts w:ascii="Times New Roman" w:hAnsi="Times New Roman" w:cs="Times New Roman"/>
            <w:sz w:val="24"/>
            <w:szCs w:val="24"/>
          </w:rPr>
          <w:t>s.loc.gov/home/histdox/fed_78.html</w:t>
        </w:r>
      </w:hyperlink>
      <w:r>
        <w:rPr>
          <w:rFonts w:ascii="Times New Roman" w:hAnsi="Times New Roman" w:cs="Times New Roman"/>
          <w:sz w:val="24"/>
          <w:szCs w:val="24"/>
        </w:rPr>
        <w:t xml:space="preserve"> </w:t>
      </w:r>
      <w:r w:rsidR="007D4215" w:rsidRPr="007D4215">
        <w:rPr>
          <w:rFonts w:ascii="Times New Roman" w:hAnsi="Times New Roman" w:cs="Times New Roman"/>
          <w:sz w:val="24"/>
          <w:szCs w:val="24"/>
        </w:rPr>
        <w:t xml:space="preserve">(Last modified: 26 May 1998; date </w:t>
      </w:r>
    </w:p>
    <w:p w:rsidR="007D4215" w:rsidRDefault="007D4215" w:rsidP="009C05EE">
      <w:pPr>
        <w:ind w:left="720"/>
        <w:rPr>
          <w:rFonts w:ascii="Times New Roman" w:hAnsi="Times New Roman" w:cs="Times New Roman"/>
          <w:sz w:val="24"/>
          <w:szCs w:val="24"/>
        </w:rPr>
      </w:pPr>
      <w:proofErr w:type="gramStart"/>
      <w:r w:rsidRPr="007D4215">
        <w:rPr>
          <w:rFonts w:ascii="Times New Roman" w:hAnsi="Times New Roman" w:cs="Times New Roman"/>
          <w:sz w:val="24"/>
          <w:szCs w:val="24"/>
        </w:rPr>
        <w:t>visited</w:t>
      </w:r>
      <w:proofErr w:type="gramEnd"/>
      <w:r w:rsidRPr="007D4215">
        <w:rPr>
          <w:rFonts w:ascii="Times New Roman" w:hAnsi="Times New Roman" w:cs="Times New Roman"/>
          <w:sz w:val="24"/>
          <w:szCs w:val="24"/>
        </w:rPr>
        <w:t>: 19 September 2011).</w:t>
      </w:r>
    </w:p>
    <w:p w:rsidR="007D4215" w:rsidRPr="00C8619E" w:rsidRDefault="007D4215" w:rsidP="005D0301">
      <w:pPr>
        <w:rPr>
          <w:rFonts w:ascii="Times New Roman" w:hAnsi="Times New Roman" w:cs="Times New Roman"/>
          <w:sz w:val="24"/>
          <w:szCs w:val="24"/>
        </w:rPr>
      </w:pPr>
    </w:p>
    <w:p w:rsidR="003B76A7" w:rsidRPr="003B76A7" w:rsidRDefault="003B76A7" w:rsidP="003B76A7">
      <w:pPr>
        <w:rPr>
          <w:rFonts w:ascii="Times New Roman" w:hAnsi="Times New Roman" w:cs="Times New Roman"/>
          <w:sz w:val="24"/>
          <w:szCs w:val="24"/>
        </w:rPr>
      </w:pPr>
      <w:proofErr w:type="gramStart"/>
      <w:r w:rsidRPr="003B76A7">
        <w:rPr>
          <w:rFonts w:ascii="Times New Roman" w:hAnsi="Times New Roman" w:cs="Times New Roman"/>
          <w:sz w:val="24"/>
          <w:szCs w:val="24"/>
        </w:rPr>
        <w:t xml:space="preserve">Marbury v. Madison, 5 U.S. 137, 1 </w:t>
      </w:r>
      <w:proofErr w:type="spellStart"/>
      <w:r w:rsidRPr="003B76A7">
        <w:rPr>
          <w:rFonts w:ascii="Times New Roman" w:hAnsi="Times New Roman" w:cs="Times New Roman"/>
          <w:sz w:val="24"/>
          <w:szCs w:val="24"/>
        </w:rPr>
        <w:t>Cranch</w:t>
      </w:r>
      <w:proofErr w:type="spellEnd"/>
      <w:r w:rsidRPr="003B76A7">
        <w:rPr>
          <w:rFonts w:ascii="Times New Roman" w:hAnsi="Times New Roman" w:cs="Times New Roman"/>
          <w:sz w:val="24"/>
          <w:szCs w:val="24"/>
        </w:rPr>
        <w:t xml:space="preserve"> 137, 2 L. Ed. 60 (1803).</w:t>
      </w:r>
      <w:proofErr w:type="gramEnd"/>
    </w:p>
    <w:p w:rsidR="005D0301" w:rsidRPr="00C8619E" w:rsidRDefault="005D0301" w:rsidP="003B76A7">
      <w:pPr>
        <w:rPr>
          <w:rFonts w:ascii="Times New Roman" w:hAnsi="Times New Roman" w:cs="Times New Roman"/>
          <w:sz w:val="24"/>
          <w:szCs w:val="24"/>
        </w:rPr>
      </w:pPr>
    </w:p>
    <w:sectPr w:rsidR="005D0301" w:rsidRPr="00C8619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98D" w:rsidRDefault="005F198D" w:rsidP="007D4215">
      <w:pPr>
        <w:spacing w:after="0" w:line="240" w:lineRule="auto"/>
      </w:pPr>
      <w:r>
        <w:separator/>
      </w:r>
    </w:p>
  </w:endnote>
  <w:endnote w:type="continuationSeparator" w:id="0">
    <w:p w:rsidR="005F198D" w:rsidRDefault="005F198D" w:rsidP="007D4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98D" w:rsidRDefault="005F198D" w:rsidP="007D4215">
      <w:pPr>
        <w:spacing w:after="0" w:line="240" w:lineRule="auto"/>
      </w:pPr>
      <w:r>
        <w:separator/>
      </w:r>
    </w:p>
  </w:footnote>
  <w:footnote w:type="continuationSeparator" w:id="0">
    <w:p w:rsidR="005F198D" w:rsidRDefault="005F198D" w:rsidP="007D42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5387436"/>
      <w:docPartObj>
        <w:docPartGallery w:val="Page Numbers (Top of Page)"/>
        <w:docPartUnique/>
      </w:docPartObj>
    </w:sdtPr>
    <w:sdtEndPr>
      <w:rPr>
        <w:noProof/>
      </w:rPr>
    </w:sdtEndPr>
    <w:sdtContent>
      <w:p w:rsidR="00041C41" w:rsidRDefault="00041C41">
        <w:pPr>
          <w:pStyle w:val="Header"/>
          <w:jc w:val="right"/>
        </w:pPr>
        <w:r>
          <w:fldChar w:fldCharType="begin"/>
        </w:r>
        <w:r>
          <w:instrText xml:space="preserve"> PAGE   \* MERGEFORMAT </w:instrText>
        </w:r>
        <w:r>
          <w:fldChar w:fldCharType="separate"/>
        </w:r>
        <w:r w:rsidR="00961953">
          <w:rPr>
            <w:noProof/>
          </w:rPr>
          <w:t>3</w:t>
        </w:r>
        <w:r>
          <w:rPr>
            <w:noProof/>
          </w:rPr>
          <w:fldChar w:fldCharType="end"/>
        </w:r>
      </w:p>
    </w:sdtContent>
  </w:sdt>
  <w:p w:rsidR="007D4215" w:rsidRPr="00652F7A" w:rsidRDefault="00041C41" w:rsidP="00FE479C">
    <w:pPr>
      <w:pStyle w:val="Header"/>
      <w:jc w:val="center"/>
    </w:pPr>
    <w:r>
      <w:t>Running head: MARBURY V. MADISON – CASE BRIEF SUMMARY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844"/>
    <w:rsid w:val="00041C41"/>
    <w:rsid w:val="000F37C8"/>
    <w:rsid w:val="00107454"/>
    <w:rsid w:val="001A7CC3"/>
    <w:rsid w:val="002139B0"/>
    <w:rsid w:val="0023587E"/>
    <w:rsid w:val="002D78CF"/>
    <w:rsid w:val="003B76A7"/>
    <w:rsid w:val="00412844"/>
    <w:rsid w:val="00457A9E"/>
    <w:rsid w:val="004A6443"/>
    <w:rsid w:val="005D0301"/>
    <w:rsid w:val="005E625F"/>
    <w:rsid w:val="005F198D"/>
    <w:rsid w:val="00652F7A"/>
    <w:rsid w:val="007D4215"/>
    <w:rsid w:val="007F204A"/>
    <w:rsid w:val="0080387D"/>
    <w:rsid w:val="00961953"/>
    <w:rsid w:val="00962C61"/>
    <w:rsid w:val="009C05EE"/>
    <w:rsid w:val="00A263F2"/>
    <w:rsid w:val="00AA0BF9"/>
    <w:rsid w:val="00AA7017"/>
    <w:rsid w:val="00AC1399"/>
    <w:rsid w:val="00B0391E"/>
    <w:rsid w:val="00C4776D"/>
    <w:rsid w:val="00C8619E"/>
    <w:rsid w:val="00DB16D2"/>
    <w:rsid w:val="00F3591A"/>
    <w:rsid w:val="00FE479C"/>
    <w:rsid w:val="00FE66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42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4215"/>
  </w:style>
  <w:style w:type="paragraph" w:styleId="Footer">
    <w:name w:val="footer"/>
    <w:basedOn w:val="Normal"/>
    <w:link w:val="FooterChar"/>
    <w:uiPriority w:val="99"/>
    <w:unhideWhenUsed/>
    <w:rsid w:val="007D42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4215"/>
  </w:style>
  <w:style w:type="character" w:styleId="Hyperlink">
    <w:name w:val="Hyperlink"/>
    <w:basedOn w:val="DefaultParagraphFont"/>
    <w:uiPriority w:val="99"/>
    <w:unhideWhenUsed/>
    <w:rsid w:val="009C05EE"/>
    <w:rPr>
      <w:color w:val="0000FF" w:themeColor="hyperlink"/>
      <w:u w:val="single"/>
    </w:rPr>
  </w:style>
  <w:style w:type="paragraph" w:styleId="BalloonText">
    <w:name w:val="Balloon Text"/>
    <w:basedOn w:val="Normal"/>
    <w:link w:val="BalloonTextChar"/>
    <w:uiPriority w:val="99"/>
    <w:semiHidden/>
    <w:unhideWhenUsed/>
    <w:rsid w:val="00FE47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79C"/>
    <w:rPr>
      <w:rFonts w:ascii="Tahoma" w:hAnsi="Tahoma" w:cs="Tahoma"/>
      <w:sz w:val="16"/>
      <w:szCs w:val="16"/>
    </w:rPr>
  </w:style>
  <w:style w:type="character" w:styleId="FollowedHyperlink">
    <w:name w:val="FollowedHyperlink"/>
    <w:basedOn w:val="DefaultParagraphFont"/>
    <w:uiPriority w:val="99"/>
    <w:semiHidden/>
    <w:unhideWhenUsed/>
    <w:rsid w:val="003B76A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42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4215"/>
  </w:style>
  <w:style w:type="paragraph" w:styleId="Footer">
    <w:name w:val="footer"/>
    <w:basedOn w:val="Normal"/>
    <w:link w:val="FooterChar"/>
    <w:uiPriority w:val="99"/>
    <w:unhideWhenUsed/>
    <w:rsid w:val="007D42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4215"/>
  </w:style>
  <w:style w:type="character" w:styleId="Hyperlink">
    <w:name w:val="Hyperlink"/>
    <w:basedOn w:val="DefaultParagraphFont"/>
    <w:uiPriority w:val="99"/>
    <w:unhideWhenUsed/>
    <w:rsid w:val="009C05EE"/>
    <w:rPr>
      <w:color w:val="0000FF" w:themeColor="hyperlink"/>
      <w:u w:val="single"/>
    </w:rPr>
  </w:style>
  <w:style w:type="paragraph" w:styleId="BalloonText">
    <w:name w:val="Balloon Text"/>
    <w:basedOn w:val="Normal"/>
    <w:link w:val="BalloonTextChar"/>
    <w:uiPriority w:val="99"/>
    <w:semiHidden/>
    <w:unhideWhenUsed/>
    <w:rsid w:val="00FE47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79C"/>
    <w:rPr>
      <w:rFonts w:ascii="Tahoma" w:hAnsi="Tahoma" w:cs="Tahoma"/>
      <w:sz w:val="16"/>
      <w:szCs w:val="16"/>
    </w:rPr>
  </w:style>
  <w:style w:type="character" w:styleId="FollowedHyperlink">
    <w:name w:val="FollowedHyperlink"/>
    <w:basedOn w:val="DefaultParagraphFont"/>
    <w:uiPriority w:val="99"/>
    <w:semiHidden/>
    <w:unhideWhenUsed/>
    <w:rsid w:val="003B76A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homas.loc.gov/home/histdox/fed_78.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4</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sarledge</dc:creator>
  <cp:lastModifiedBy>sarledge</cp:lastModifiedBy>
  <cp:revision>15</cp:revision>
  <cp:lastPrinted>2011-09-19T20:14:00Z</cp:lastPrinted>
  <dcterms:created xsi:type="dcterms:W3CDTF">2011-09-19T15:00:00Z</dcterms:created>
  <dcterms:modified xsi:type="dcterms:W3CDTF">2011-09-19T20:20:00Z</dcterms:modified>
</cp:coreProperties>
</file>